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5B0A4" w14:textId="77777777" w:rsidR="00E631AF" w:rsidRPr="000B2CB1" w:rsidRDefault="00E631AF" w:rsidP="000B2CB1">
      <w:pPr>
        <w:jc w:val="center"/>
        <w:rPr>
          <w:rFonts w:ascii="Book Antiqua" w:hAnsi="Book Antiqua"/>
          <w:sz w:val="24"/>
          <w:szCs w:val="24"/>
        </w:rPr>
      </w:pPr>
      <w:r w:rsidRPr="000B2CB1">
        <w:rPr>
          <w:rFonts w:ascii="Book Antiqua" w:hAnsi="Book Antiqua"/>
          <w:sz w:val="24"/>
          <w:szCs w:val="24"/>
        </w:rPr>
        <w:t>9th Meeting of The Luce Irigaray Circle</w:t>
      </w:r>
      <w:r w:rsidRPr="000B2CB1">
        <w:rPr>
          <w:rFonts w:ascii="Book Antiqua" w:hAnsi="Book Antiqua"/>
          <w:sz w:val="24"/>
          <w:szCs w:val="24"/>
        </w:rPr>
        <w:br/>
        <w:t>Call for Papers</w:t>
      </w:r>
      <w:r w:rsidRPr="000B2CB1">
        <w:rPr>
          <w:rFonts w:ascii="Book Antiqua" w:hAnsi="Book Antiqua"/>
          <w:sz w:val="24"/>
          <w:szCs w:val="24"/>
        </w:rPr>
        <w:br/>
      </w:r>
      <w:r w:rsidR="00D42022" w:rsidRPr="000B2CB1">
        <w:rPr>
          <w:rFonts w:ascii="Book Antiqua" w:hAnsi="Book Antiqua"/>
          <w:b/>
          <w:i/>
          <w:sz w:val="24"/>
          <w:szCs w:val="24"/>
        </w:rPr>
        <w:br/>
      </w:r>
      <w:r w:rsidRPr="000B2CB1">
        <w:rPr>
          <w:rFonts w:ascii="Book Antiqua" w:hAnsi="Book Antiqua"/>
          <w:b/>
          <w:i/>
          <w:sz w:val="24"/>
          <w:szCs w:val="24"/>
        </w:rPr>
        <w:t>Horizons of Sexual Difference:</w:t>
      </w:r>
      <w:r w:rsidRPr="000B2CB1">
        <w:rPr>
          <w:rFonts w:ascii="Book Antiqua" w:hAnsi="Book Antiqua"/>
          <w:i/>
          <w:sz w:val="24"/>
          <w:szCs w:val="24"/>
        </w:rPr>
        <w:t xml:space="preserve"> </w:t>
      </w:r>
      <w:r w:rsidRPr="000B2CB1">
        <w:rPr>
          <w:rFonts w:ascii="Book Antiqua" w:hAnsi="Book Antiqua"/>
          <w:i/>
          <w:sz w:val="24"/>
          <w:szCs w:val="24"/>
        </w:rPr>
        <w:br/>
      </w:r>
      <w:r w:rsidRPr="000B2CB1">
        <w:rPr>
          <w:rFonts w:ascii="Book Antiqua" w:hAnsi="Book Antiqua"/>
          <w:sz w:val="24"/>
          <w:szCs w:val="24"/>
        </w:rPr>
        <w:t>work on or inspired by Luce Irigaray</w:t>
      </w:r>
    </w:p>
    <w:p w14:paraId="0244E4F3" w14:textId="02819CA6" w:rsidR="0044182E" w:rsidRDefault="00E631AF" w:rsidP="0044182E">
      <w:pPr>
        <w:jc w:val="center"/>
        <w:rPr>
          <w:rFonts w:ascii="Book Antiqua" w:hAnsi="Book Antiqua"/>
          <w:sz w:val="24"/>
          <w:szCs w:val="24"/>
        </w:rPr>
      </w:pPr>
      <w:r w:rsidRPr="000B2CB1">
        <w:rPr>
          <w:rFonts w:ascii="Book Antiqua" w:hAnsi="Book Antiqua"/>
          <w:sz w:val="24"/>
          <w:szCs w:val="24"/>
        </w:rPr>
        <w:t>June 14-16, 2018</w:t>
      </w:r>
    </w:p>
    <w:p w14:paraId="4AB65D75" w14:textId="77777777" w:rsidR="0044182E" w:rsidRPr="00A002BC" w:rsidRDefault="0044182E" w:rsidP="00A002BC">
      <w:pPr>
        <w:jc w:val="center"/>
        <w:rPr>
          <w:rFonts w:ascii="Book Antiqua" w:hAnsi="Book Antiqua"/>
          <w:sz w:val="24"/>
          <w:szCs w:val="24"/>
        </w:rPr>
      </w:pPr>
    </w:p>
    <w:p w14:paraId="3E256F73" w14:textId="77777777" w:rsidR="00AB1D72" w:rsidRPr="000B2CB1" w:rsidRDefault="00AB1D72" w:rsidP="000B2CB1">
      <w:pPr>
        <w:spacing w:line="240" w:lineRule="auto"/>
        <w:jc w:val="both"/>
        <w:rPr>
          <w:rFonts w:ascii="Book Antiqua" w:hAnsi="Book Antiqua" w:cs="Times New Roman"/>
          <w:i/>
          <w:sz w:val="24"/>
          <w:szCs w:val="24"/>
        </w:rPr>
      </w:pPr>
      <w:r w:rsidRPr="000B2CB1">
        <w:rPr>
          <w:rFonts w:ascii="Book Antiqua" w:hAnsi="Book Antiqua" w:cs="Times New Roman"/>
          <w:i/>
          <w:sz w:val="24"/>
          <w:szCs w:val="24"/>
        </w:rPr>
        <w:t xml:space="preserve">The gestures and words that we have to invent will be appropriate therefore to an opening outside the horizon of the identical, of the similar, of the familiar to one alone. </w:t>
      </w:r>
      <w:r w:rsidRPr="000B2CB1">
        <w:rPr>
          <w:rFonts w:ascii="Book Antiqua" w:hAnsi="Book Antiqua" w:cs="Times New Roman"/>
          <w:sz w:val="24"/>
          <w:szCs w:val="24"/>
        </w:rPr>
        <w:t xml:space="preserve">  —Luce Irigaray</w:t>
      </w:r>
    </w:p>
    <w:p w14:paraId="7BA82137" w14:textId="77777777" w:rsidR="00B24DF8" w:rsidRDefault="00B24DF8" w:rsidP="000B2CB1">
      <w:pPr>
        <w:spacing w:line="240" w:lineRule="auto"/>
        <w:jc w:val="both"/>
        <w:rPr>
          <w:rFonts w:ascii="Book Antiqua" w:hAnsi="Book Antiqua" w:cs="Times New Roman"/>
          <w:sz w:val="24"/>
          <w:szCs w:val="24"/>
        </w:rPr>
      </w:pPr>
    </w:p>
    <w:p w14:paraId="2E2899E8" w14:textId="76E649BF" w:rsidR="000F528C" w:rsidRPr="00EC7CDA" w:rsidRDefault="000F528C" w:rsidP="000B2CB1">
      <w:pPr>
        <w:spacing w:line="240" w:lineRule="auto"/>
        <w:jc w:val="both"/>
        <w:rPr>
          <w:rFonts w:ascii="Book Antiqua" w:hAnsi="Book Antiqua" w:cs="Times New Roman"/>
          <w:sz w:val="24"/>
          <w:szCs w:val="24"/>
          <w:u w:val="single"/>
        </w:rPr>
      </w:pPr>
      <w:r w:rsidRPr="00EC7CDA">
        <w:rPr>
          <w:rFonts w:ascii="Book Antiqua" w:hAnsi="Book Antiqua" w:cs="Times New Roman"/>
          <w:sz w:val="24"/>
          <w:szCs w:val="24"/>
          <w:u w:val="single"/>
        </w:rPr>
        <w:t>Keynote Speakers</w:t>
      </w:r>
    </w:p>
    <w:p w14:paraId="69842989" w14:textId="52374667" w:rsidR="00935AEC" w:rsidRDefault="00C314BE" w:rsidP="00935AEC">
      <w:pPr>
        <w:spacing w:line="240" w:lineRule="auto"/>
        <w:rPr>
          <w:rFonts w:ascii="Book Antiqua" w:hAnsi="Book Antiqua" w:cs="Times New Roman"/>
          <w:sz w:val="24"/>
          <w:szCs w:val="24"/>
        </w:rPr>
      </w:pPr>
      <w:r w:rsidRPr="00EC7CDA">
        <w:rPr>
          <w:rFonts w:ascii="Book Antiqua" w:hAnsi="Book Antiqua" w:cs="Times New Roman"/>
          <w:b/>
          <w:sz w:val="24"/>
          <w:szCs w:val="24"/>
        </w:rPr>
        <w:t>Mary</w:t>
      </w:r>
      <w:r w:rsidR="00935AEC" w:rsidRPr="00EC7CDA">
        <w:rPr>
          <w:rFonts w:ascii="Book Antiqua" w:hAnsi="Book Antiqua" w:cs="Times New Roman"/>
          <w:b/>
          <w:sz w:val="24"/>
          <w:szCs w:val="24"/>
        </w:rPr>
        <w:t xml:space="preserve"> K.</w:t>
      </w:r>
      <w:r w:rsidRPr="00EC7CDA">
        <w:rPr>
          <w:rFonts w:ascii="Book Antiqua" w:hAnsi="Book Antiqua" w:cs="Times New Roman"/>
          <w:b/>
          <w:sz w:val="24"/>
          <w:szCs w:val="24"/>
        </w:rPr>
        <w:t xml:space="preserve"> Bloodsworth-Lugo</w:t>
      </w:r>
      <w:r w:rsidR="00DA3D62">
        <w:rPr>
          <w:rFonts w:ascii="Book Antiqua" w:hAnsi="Book Antiqua" w:cs="Times New Roman"/>
          <w:sz w:val="24"/>
          <w:szCs w:val="24"/>
        </w:rPr>
        <w:t xml:space="preserve"> </w:t>
      </w:r>
      <w:r w:rsidR="00935AEC">
        <w:rPr>
          <w:rFonts w:ascii="Book Antiqua" w:hAnsi="Book Antiqua" w:cs="Times New Roman"/>
          <w:sz w:val="24"/>
          <w:szCs w:val="24"/>
        </w:rPr>
        <w:br/>
        <w:t>Department of Critical Culture, Gender &amp; Race Studies</w:t>
      </w:r>
      <w:r w:rsidR="004E2703">
        <w:rPr>
          <w:rFonts w:ascii="Book Antiqua" w:hAnsi="Book Antiqua" w:cs="Times New Roman"/>
          <w:sz w:val="24"/>
          <w:szCs w:val="24"/>
        </w:rPr>
        <w:br/>
        <w:t>Washington State University</w:t>
      </w:r>
    </w:p>
    <w:p w14:paraId="45E3CBB4" w14:textId="54271EEE" w:rsidR="008C3D5A" w:rsidRDefault="004E2703" w:rsidP="00EC7CDA">
      <w:pPr>
        <w:spacing w:line="240" w:lineRule="auto"/>
        <w:rPr>
          <w:rFonts w:ascii="Book Antiqua" w:hAnsi="Book Antiqua" w:cs="Times New Roman"/>
          <w:sz w:val="24"/>
          <w:szCs w:val="24"/>
        </w:rPr>
      </w:pPr>
      <w:r w:rsidRPr="00EC7CDA">
        <w:rPr>
          <w:rFonts w:ascii="Book Antiqua" w:hAnsi="Book Antiqua" w:cs="Times New Roman"/>
          <w:b/>
          <w:sz w:val="24"/>
          <w:szCs w:val="24"/>
        </w:rPr>
        <w:t xml:space="preserve">Rachel </w:t>
      </w:r>
      <w:r w:rsidR="00B56E89" w:rsidRPr="00EC7CDA">
        <w:rPr>
          <w:rFonts w:ascii="Book Antiqua" w:hAnsi="Book Antiqua" w:cs="Times New Roman"/>
          <w:b/>
          <w:sz w:val="24"/>
          <w:szCs w:val="24"/>
        </w:rPr>
        <w:t>Jones</w:t>
      </w:r>
      <w:r w:rsidR="00B56E89">
        <w:rPr>
          <w:rFonts w:ascii="Book Antiqua" w:hAnsi="Book Antiqua" w:cs="Times New Roman"/>
          <w:sz w:val="24"/>
          <w:szCs w:val="24"/>
        </w:rPr>
        <w:br/>
        <w:t xml:space="preserve">Department of Philosophy </w:t>
      </w:r>
      <w:r w:rsidR="00B56E89">
        <w:rPr>
          <w:rFonts w:ascii="Book Antiqua" w:hAnsi="Book Antiqua" w:cs="Times New Roman"/>
          <w:sz w:val="24"/>
          <w:szCs w:val="24"/>
        </w:rPr>
        <w:br/>
      </w:r>
      <w:r w:rsidR="00463370">
        <w:rPr>
          <w:rFonts w:ascii="Book Antiqua" w:hAnsi="Book Antiqua" w:cs="Times New Roman"/>
          <w:sz w:val="24"/>
          <w:szCs w:val="24"/>
        </w:rPr>
        <w:t>George Mason University</w:t>
      </w:r>
      <w:r w:rsidR="00954731">
        <w:rPr>
          <w:rFonts w:ascii="Book Antiqua" w:hAnsi="Book Antiqua" w:cs="Times New Roman"/>
          <w:sz w:val="24"/>
          <w:szCs w:val="24"/>
        </w:rPr>
        <w:t xml:space="preserve"> </w:t>
      </w:r>
    </w:p>
    <w:p w14:paraId="7BDA71CA" w14:textId="77777777" w:rsidR="00FC4B83" w:rsidRPr="00FC4B83" w:rsidRDefault="00FC4B83" w:rsidP="00EC7CDA">
      <w:pPr>
        <w:spacing w:line="240" w:lineRule="auto"/>
        <w:rPr>
          <w:rFonts w:ascii="Book Antiqua" w:hAnsi="Book Antiqua" w:cs="Times New Roman"/>
          <w:sz w:val="24"/>
          <w:szCs w:val="24"/>
        </w:rPr>
      </w:pPr>
      <w:bookmarkStart w:id="0" w:name="_GoBack"/>
      <w:bookmarkEnd w:id="0"/>
    </w:p>
    <w:p w14:paraId="2BF48228" w14:textId="69C3128B" w:rsidR="00A76235" w:rsidRPr="000B2CB1" w:rsidRDefault="0028768C" w:rsidP="000B2CB1">
      <w:pPr>
        <w:jc w:val="both"/>
        <w:rPr>
          <w:rFonts w:ascii="Book Antiqua" w:hAnsi="Book Antiqua"/>
          <w:sz w:val="24"/>
          <w:szCs w:val="24"/>
        </w:rPr>
      </w:pPr>
      <w:r w:rsidRPr="000B2CB1">
        <w:rPr>
          <w:rFonts w:ascii="Book Antiqua" w:hAnsi="Book Antiqua"/>
          <w:sz w:val="24"/>
          <w:szCs w:val="24"/>
        </w:rPr>
        <w:t>T</w:t>
      </w:r>
      <w:r w:rsidR="00A6776B" w:rsidRPr="000B2CB1">
        <w:rPr>
          <w:rFonts w:ascii="Book Antiqua" w:hAnsi="Book Antiqua"/>
          <w:sz w:val="24"/>
          <w:szCs w:val="24"/>
        </w:rPr>
        <w:t>he Department of Philosophy</w:t>
      </w:r>
      <w:r w:rsidR="00700A1C" w:rsidRPr="000B2CB1">
        <w:rPr>
          <w:rFonts w:ascii="Book Antiqua" w:hAnsi="Book Antiqua"/>
          <w:sz w:val="24"/>
          <w:szCs w:val="24"/>
        </w:rPr>
        <w:t>, with the support of the Faculty of Humanities at Brock University</w:t>
      </w:r>
      <w:r w:rsidR="00AD2653" w:rsidRPr="000B2CB1">
        <w:rPr>
          <w:rFonts w:ascii="Book Antiqua" w:hAnsi="Book Antiqua"/>
          <w:sz w:val="24"/>
          <w:szCs w:val="24"/>
        </w:rPr>
        <w:t>,</w:t>
      </w:r>
      <w:r w:rsidR="00700A1C" w:rsidRPr="000B2CB1">
        <w:rPr>
          <w:rFonts w:ascii="Book Antiqua" w:hAnsi="Book Antiqua"/>
          <w:sz w:val="24"/>
          <w:szCs w:val="24"/>
        </w:rPr>
        <w:t xml:space="preserve"> </w:t>
      </w:r>
      <w:r w:rsidR="00DD4EDB" w:rsidRPr="000B2CB1">
        <w:rPr>
          <w:rFonts w:ascii="Book Antiqua" w:hAnsi="Book Antiqua"/>
          <w:sz w:val="24"/>
          <w:szCs w:val="24"/>
        </w:rPr>
        <w:t xml:space="preserve">will host </w:t>
      </w:r>
      <w:r w:rsidR="004D3197" w:rsidRPr="000B2CB1">
        <w:rPr>
          <w:rFonts w:ascii="Book Antiqua" w:hAnsi="Book Antiqua"/>
          <w:sz w:val="24"/>
          <w:szCs w:val="24"/>
        </w:rPr>
        <w:t>the 9</w:t>
      </w:r>
      <w:r w:rsidR="004D3197" w:rsidRPr="000B2CB1">
        <w:rPr>
          <w:rFonts w:ascii="Book Antiqua" w:hAnsi="Book Antiqua"/>
          <w:sz w:val="24"/>
          <w:szCs w:val="24"/>
          <w:vertAlign w:val="superscript"/>
        </w:rPr>
        <w:t>th</w:t>
      </w:r>
      <w:r w:rsidR="004D3197" w:rsidRPr="000B2CB1">
        <w:rPr>
          <w:rFonts w:ascii="Book Antiqua" w:hAnsi="Book Antiqua"/>
          <w:sz w:val="24"/>
          <w:szCs w:val="24"/>
        </w:rPr>
        <w:t xml:space="preserve"> meeting</w:t>
      </w:r>
      <w:r w:rsidR="007511C9" w:rsidRPr="000B2CB1">
        <w:rPr>
          <w:rFonts w:ascii="Book Antiqua" w:hAnsi="Book Antiqua"/>
          <w:sz w:val="24"/>
          <w:szCs w:val="24"/>
        </w:rPr>
        <w:t xml:space="preserve"> of The Luce Irigaray </w:t>
      </w:r>
      <w:r w:rsidR="009C3FB6">
        <w:rPr>
          <w:rFonts w:ascii="Book Antiqua" w:hAnsi="Book Antiqua"/>
          <w:sz w:val="24"/>
          <w:szCs w:val="24"/>
        </w:rPr>
        <w:t>Circle</w:t>
      </w:r>
      <w:r w:rsidR="009C3FB6" w:rsidRPr="000B2CB1">
        <w:rPr>
          <w:rFonts w:ascii="Book Antiqua" w:hAnsi="Book Antiqua"/>
          <w:sz w:val="24"/>
          <w:szCs w:val="24"/>
        </w:rPr>
        <w:t xml:space="preserve"> </w:t>
      </w:r>
      <w:r w:rsidR="007511C9" w:rsidRPr="000B2CB1">
        <w:rPr>
          <w:rFonts w:ascii="Book Antiqua" w:hAnsi="Book Antiqua"/>
          <w:sz w:val="24"/>
          <w:szCs w:val="24"/>
        </w:rPr>
        <w:t xml:space="preserve">in a </w:t>
      </w:r>
      <w:r w:rsidR="007E005E" w:rsidRPr="000B2CB1">
        <w:rPr>
          <w:rFonts w:ascii="Book Antiqua" w:hAnsi="Book Antiqua"/>
          <w:sz w:val="24"/>
          <w:szCs w:val="24"/>
        </w:rPr>
        <w:t>three-day</w:t>
      </w:r>
      <w:r w:rsidR="00DD4EDB" w:rsidRPr="000B2CB1">
        <w:rPr>
          <w:rFonts w:ascii="Book Antiqua" w:hAnsi="Book Antiqua"/>
          <w:sz w:val="24"/>
          <w:szCs w:val="24"/>
        </w:rPr>
        <w:t xml:space="preserve"> interdisciplinary conference</w:t>
      </w:r>
      <w:r w:rsidR="007E4ED7" w:rsidRPr="000B2CB1">
        <w:rPr>
          <w:rFonts w:ascii="Book Antiqua" w:hAnsi="Book Antiqua"/>
          <w:sz w:val="24"/>
          <w:szCs w:val="24"/>
        </w:rPr>
        <w:t xml:space="preserve"> devoted to sc</w:t>
      </w:r>
      <w:r w:rsidR="0015473E" w:rsidRPr="000B2CB1">
        <w:rPr>
          <w:rFonts w:ascii="Book Antiqua" w:hAnsi="Book Antiqua"/>
          <w:sz w:val="24"/>
          <w:szCs w:val="24"/>
        </w:rPr>
        <w:t xml:space="preserve">holarship and creative work on, </w:t>
      </w:r>
      <w:r w:rsidR="007E4ED7" w:rsidRPr="000B2CB1">
        <w:rPr>
          <w:rFonts w:ascii="Book Antiqua" w:hAnsi="Book Antiqua"/>
          <w:sz w:val="24"/>
          <w:szCs w:val="24"/>
        </w:rPr>
        <w:t>or inspired b</w:t>
      </w:r>
      <w:r w:rsidR="00B93994" w:rsidRPr="000B2CB1">
        <w:rPr>
          <w:rFonts w:ascii="Book Antiqua" w:hAnsi="Book Antiqua"/>
          <w:sz w:val="24"/>
          <w:szCs w:val="24"/>
        </w:rPr>
        <w:t>y, the thought of Luce Irigaray</w:t>
      </w:r>
      <w:r w:rsidR="00EF6EEE" w:rsidRPr="000B2CB1">
        <w:rPr>
          <w:rFonts w:ascii="Book Antiqua" w:hAnsi="Book Antiqua"/>
          <w:sz w:val="24"/>
          <w:szCs w:val="24"/>
        </w:rPr>
        <w:t xml:space="preserve"> at the Marilyn I</w:t>
      </w:r>
      <w:r w:rsidR="00866D59" w:rsidRPr="000B2CB1">
        <w:rPr>
          <w:rFonts w:ascii="Book Antiqua" w:hAnsi="Book Antiqua"/>
          <w:sz w:val="24"/>
          <w:szCs w:val="24"/>
        </w:rPr>
        <w:t>.</w:t>
      </w:r>
      <w:r w:rsidR="00EF6EEE" w:rsidRPr="000B2CB1">
        <w:rPr>
          <w:rFonts w:ascii="Book Antiqua" w:hAnsi="Book Antiqua"/>
          <w:sz w:val="24"/>
          <w:szCs w:val="24"/>
        </w:rPr>
        <w:t xml:space="preserve"> Walker </w:t>
      </w:r>
      <w:r w:rsidR="006A6235">
        <w:rPr>
          <w:rFonts w:ascii="Book Antiqua" w:hAnsi="Book Antiqua"/>
          <w:sz w:val="24"/>
          <w:szCs w:val="24"/>
        </w:rPr>
        <w:t>School of Fine and</w:t>
      </w:r>
      <w:r w:rsidR="00EF6EEE" w:rsidRPr="000B2CB1">
        <w:rPr>
          <w:rFonts w:ascii="Book Antiqua" w:hAnsi="Book Antiqua"/>
          <w:sz w:val="24"/>
          <w:szCs w:val="24"/>
        </w:rPr>
        <w:t xml:space="preserve"> Performing Arts at the Brock downtown campus. </w:t>
      </w:r>
    </w:p>
    <w:p w14:paraId="5E320EC6" w14:textId="3C7EF48A" w:rsidR="001F0D19" w:rsidRPr="000B2CB1" w:rsidRDefault="00E428DA" w:rsidP="000B2CB1">
      <w:pPr>
        <w:jc w:val="both"/>
        <w:rPr>
          <w:rFonts w:ascii="Book Antiqua" w:hAnsi="Book Antiqua"/>
          <w:sz w:val="24"/>
          <w:szCs w:val="24"/>
        </w:rPr>
      </w:pPr>
      <w:r w:rsidRPr="000B2CB1">
        <w:rPr>
          <w:rFonts w:ascii="Book Antiqua" w:hAnsi="Book Antiqua"/>
          <w:sz w:val="24"/>
          <w:szCs w:val="24"/>
        </w:rPr>
        <w:t xml:space="preserve">Luce Irigaray’s </w:t>
      </w:r>
      <w:r w:rsidR="00B93994" w:rsidRPr="000B2CB1">
        <w:rPr>
          <w:rFonts w:ascii="Book Antiqua" w:hAnsi="Book Antiqua"/>
          <w:sz w:val="24"/>
          <w:szCs w:val="24"/>
        </w:rPr>
        <w:t>thinking has far-reaching influence across a number of disciplines and practices including Philosophy, the Natural Sciences,</w:t>
      </w:r>
      <w:r w:rsidR="00930509" w:rsidRPr="000B2CB1">
        <w:rPr>
          <w:rFonts w:ascii="Book Antiqua" w:hAnsi="Book Antiqua"/>
          <w:sz w:val="24"/>
          <w:szCs w:val="24"/>
        </w:rPr>
        <w:t xml:space="preserve"> Women’s Health,</w:t>
      </w:r>
      <w:r w:rsidR="00B93994" w:rsidRPr="000B2CB1">
        <w:rPr>
          <w:rFonts w:ascii="Book Antiqua" w:hAnsi="Book Antiqua"/>
          <w:sz w:val="24"/>
          <w:szCs w:val="24"/>
        </w:rPr>
        <w:t xml:space="preserve"> Literature and Literary Criticism, Women’s and Gender Studies, Religious Studies, </w:t>
      </w:r>
      <w:r w:rsidR="009A3C7C" w:rsidRPr="000B2CB1">
        <w:rPr>
          <w:rFonts w:ascii="Book Antiqua" w:hAnsi="Book Antiqua"/>
          <w:sz w:val="24"/>
          <w:szCs w:val="24"/>
        </w:rPr>
        <w:t xml:space="preserve">Indigenous Studies, </w:t>
      </w:r>
      <w:r w:rsidR="00B93994" w:rsidRPr="000B2CB1">
        <w:rPr>
          <w:rFonts w:ascii="Book Antiqua" w:hAnsi="Book Antiqua"/>
          <w:sz w:val="24"/>
          <w:szCs w:val="24"/>
        </w:rPr>
        <w:t>Political Theory,</w:t>
      </w:r>
      <w:r w:rsidR="00AB1D72" w:rsidRPr="000B2CB1">
        <w:rPr>
          <w:rFonts w:ascii="Book Antiqua" w:hAnsi="Book Antiqua"/>
          <w:sz w:val="24"/>
          <w:szCs w:val="24"/>
        </w:rPr>
        <w:t xml:space="preserve"> </w:t>
      </w:r>
      <w:r w:rsidR="00930509" w:rsidRPr="000B2CB1">
        <w:rPr>
          <w:rFonts w:ascii="Book Antiqua" w:hAnsi="Book Antiqua"/>
          <w:sz w:val="24"/>
          <w:szCs w:val="24"/>
        </w:rPr>
        <w:t>Classics</w:t>
      </w:r>
      <w:r w:rsidR="00AB1D72" w:rsidRPr="000B2CB1">
        <w:rPr>
          <w:rFonts w:ascii="Book Antiqua" w:hAnsi="Book Antiqua"/>
          <w:sz w:val="24"/>
          <w:szCs w:val="24"/>
        </w:rPr>
        <w:t>,</w:t>
      </w:r>
      <w:r w:rsidR="00930509" w:rsidRPr="000B2CB1">
        <w:rPr>
          <w:rFonts w:ascii="Book Antiqua" w:hAnsi="Book Antiqua"/>
          <w:sz w:val="24"/>
          <w:szCs w:val="24"/>
        </w:rPr>
        <w:t xml:space="preserve"> Linguistics,</w:t>
      </w:r>
      <w:r w:rsidR="00B93994" w:rsidRPr="000B2CB1">
        <w:rPr>
          <w:rFonts w:ascii="Book Antiqua" w:hAnsi="Book Antiqua"/>
          <w:sz w:val="24"/>
          <w:szCs w:val="24"/>
        </w:rPr>
        <w:t xml:space="preserve"> Architecture, </w:t>
      </w:r>
      <w:r w:rsidR="00930509" w:rsidRPr="000B2CB1">
        <w:rPr>
          <w:rFonts w:ascii="Book Antiqua" w:hAnsi="Book Antiqua"/>
          <w:sz w:val="24"/>
          <w:szCs w:val="24"/>
        </w:rPr>
        <w:t>Performance Studies</w:t>
      </w:r>
      <w:r w:rsidR="00B93994" w:rsidRPr="000B2CB1">
        <w:rPr>
          <w:rFonts w:ascii="Book Antiqua" w:hAnsi="Book Antiqua"/>
          <w:sz w:val="24"/>
          <w:szCs w:val="24"/>
        </w:rPr>
        <w:t>,</w:t>
      </w:r>
      <w:r w:rsidR="00930509" w:rsidRPr="000B2CB1">
        <w:rPr>
          <w:rFonts w:ascii="Book Antiqua" w:hAnsi="Book Antiqua"/>
          <w:sz w:val="24"/>
          <w:szCs w:val="24"/>
        </w:rPr>
        <w:t xml:space="preserve"> Music, Sound Studies,</w:t>
      </w:r>
      <w:r w:rsidR="00B93994" w:rsidRPr="000B2CB1">
        <w:rPr>
          <w:rFonts w:ascii="Book Antiqua" w:hAnsi="Book Antiqua"/>
          <w:sz w:val="24"/>
          <w:szCs w:val="24"/>
        </w:rPr>
        <w:t xml:space="preserve"> </w:t>
      </w:r>
      <w:r w:rsidR="00064121">
        <w:rPr>
          <w:rFonts w:ascii="Book Antiqua" w:hAnsi="Book Antiqua"/>
          <w:sz w:val="24"/>
          <w:szCs w:val="24"/>
        </w:rPr>
        <w:t>F</w:t>
      </w:r>
      <w:r w:rsidR="00B93994" w:rsidRPr="000B2CB1">
        <w:rPr>
          <w:rFonts w:ascii="Book Antiqua" w:hAnsi="Book Antiqua"/>
          <w:sz w:val="24"/>
          <w:szCs w:val="24"/>
        </w:rPr>
        <w:t xml:space="preserve">eminist Legal theory, </w:t>
      </w:r>
      <w:r w:rsidR="00930509" w:rsidRPr="000B2CB1">
        <w:rPr>
          <w:rFonts w:ascii="Book Antiqua" w:hAnsi="Book Antiqua"/>
          <w:sz w:val="24"/>
          <w:szCs w:val="24"/>
        </w:rPr>
        <w:t xml:space="preserve">Art and Aesthetic practices, </w:t>
      </w:r>
      <w:r w:rsidR="00B93994" w:rsidRPr="000B2CB1">
        <w:rPr>
          <w:rFonts w:ascii="Book Antiqua" w:hAnsi="Book Antiqua"/>
          <w:sz w:val="24"/>
          <w:szCs w:val="24"/>
        </w:rPr>
        <w:t xml:space="preserve">etc. The Circle seeks to generate new possibilities for thinking sexual difference by </w:t>
      </w:r>
      <w:r w:rsidR="00AB1D72" w:rsidRPr="000B2CB1">
        <w:rPr>
          <w:rFonts w:ascii="Book Antiqua" w:hAnsi="Book Antiqua"/>
          <w:sz w:val="24"/>
          <w:szCs w:val="24"/>
        </w:rPr>
        <w:t>honouring and supporting interdisciplinarity and</w:t>
      </w:r>
      <w:r w:rsidR="00B93994" w:rsidRPr="000B2CB1">
        <w:rPr>
          <w:rFonts w:ascii="Book Antiqua" w:hAnsi="Book Antiqua"/>
          <w:sz w:val="24"/>
          <w:szCs w:val="24"/>
        </w:rPr>
        <w:t xml:space="preserve"> the </w:t>
      </w:r>
      <w:r w:rsidR="00AB1D72" w:rsidRPr="000B2CB1">
        <w:rPr>
          <w:rFonts w:ascii="Book Antiqua" w:hAnsi="Book Antiqua"/>
          <w:sz w:val="24"/>
          <w:szCs w:val="24"/>
        </w:rPr>
        <w:t xml:space="preserve">multiple research </w:t>
      </w:r>
      <w:r w:rsidR="00930509" w:rsidRPr="000B2CB1">
        <w:rPr>
          <w:rFonts w:ascii="Book Antiqua" w:hAnsi="Book Antiqua"/>
          <w:sz w:val="24"/>
          <w:szCs w:val="24"/>
        </w:rPr>
        <w:t xml:space="preserve">trajectories, </w:t>
      </w:r>
      <w:r w:rsidR="00AB1D72" w:rsidRPr="000B2CB1">
        <w:rPr>
          <w:rFonts w:ascii="Book Antiqua" w:hAnsi="Book Antiqua"/>
          <w:sz w:val="24"/>
          <w:szCs w:val="24"/>
        </w:rPr>
        <w:t>methods and projects</w:t>
      </w:r>
      <w:r w:rsidR="00B93994" w:rsidRPr="000B2CB1">
        <w:rPr>
          <w:rFonts w:ascii="Book Antiqua" w:hAnsi="Book Antiqua"/>
          <w:sz w:val="24"/>
          <w:szCs w:val="24"/>
        </w:rPr>
        <w:t xml:space="preserve"> inspired by Irigaray’s thought.</w:t>
      </w:r>
      <w:r w:rsidR="00AB1D72" w:rsidRPr="000B2CB1">
        <w:rPr>
          <w:rFonts w:ascii="Book Antiqua" w:hAnsi="Book Antiqua"/>
          <w:sz w:val="24"/>
          <w:szCs w:val="24"/>
        </w:rPr>
        <w:t xml:space="preserve"> </w:t>
      </w:r>
      <w:r w:rsidR="00B93994" w:rsidRPr="000B2CB1">
        <w:rPr>
          <w:rFonts w:ascii="Book Antiqua" w:hAnsi="Book Antiqua"/>
          <w:sz w:val="24"/>
          <w:szCs w:val="24"/>
        </w:rPr>
        <w:t xml:space="preserve"> </w:t>
      </w:r>
    </w:p>
    <w:p w14:paraId="416D9E64" w14:textId="77777777" w:rsidR="002D4B87" w:rsidRPr="000B2CB1" w:rsidRDefault="00930509" w:rsidP="000B2CB1">
      <w:pPr>
        <w:jc w:val="both"/>
        <w:rPr>
          <w:rFonts w:ascii="Book Antiqua" w:hAnsi="Book Antiqua"/>
          <w:sz w:val="24"/>
          <w:szCs w:val="24"/>
        </w:rPr>
      </w:pPr>
      <w:r w:rsidRPr="000B2CB1">
        <w:rPr>
          <w:rFonts w:ascii="Book Antiqua" w:hAnsi="Book Antiqua"/>
          <w:sz w:val="24"/>
          <w:szCs w:val="24"/>
        </w:rPr>
        <w:t>This year’s</w:t>
      </w:r>
      <w:r w:rsidR="003E6326" w:rsidRPr="000B2CB1">
        <w:rPr>
          <w:rFonts w:ascii="Book Antiqua" w:hAnsi="Book Antiqua"/>
          <w:sz w:val="24"/>
          <w:szCs w:val="24"/>
        </w:rPr>
        <w:t xml:space="preserve"> conference</w:t>
      </w:r>
      <w:r w:rsidR="00A3654D" w:rsidRPr="000B2CB1">
        <w:rPr>
          <w:rFonts w:ascii="Book Antiqua" w:hAnsi="Book Antiqua"/>
          <w:sz w:val="24"/>
          <w:szCs w:val="24"/>
        </w:rPr>
        <w:t xml:space="preserve"> </w:t>
      </w:r>
      <w:r w:rsidR="003E6326" w:rsidRPr="000B2CB1">
        <w:rPr>
          <w:rFonts w:ascii="Book Antiqua" w:hAnsi="Book Antiqua"/>
          <w:sz w:val="24"/>
          <w:szCs w:val="24"/>
        </w:rPr>
        <w:t xml:space="preserve">draws its theme from the figure of the </w:t>
      </w:r>
      <w:r w:rsidR="003E6326" w:rsidRPr="000B2CB1">
        <w:rPr>
          <w:rFonts w:ascii="Book Antiqua" w:hAnsi="Book Antiqua"/>
          <w:i/>
          <w:sz w:val="24"/>
          <w:szCs w:val="24"/>
        </w:rPr>
        <w:t>horizon</w:t>
      </w:r>
      <w:r w:rsidR="001D63E4" w:rsidRPr="000B2CB1">
        <w:rPr>
          <w:rFonts w:ascii="Book Antiqua" w:hAnsi="Book Antiqua"/>
          <w:i/>
          <w:sz w:val="24"/>
          <w:szCs w:val="24"/>
        </w:rPr>
        <w:t xml:space="preserve"> </w:t>
      </w:r>
      <w:r w:rsidR="001D63E4" w:rsidRPr="000B2CB1">
        <w:rPr>
          <w:rFonts w:ascii="Book Antiqua" w:hAnsi="Book Antiqua"/>
          <w:sz w:val="24"/>
          <w:szCs w:val="24"/>
        </w:rPr>
        <w:t xml:space="preserve">mobilized in Irigaray’s work </w:t>
      </w:r>
      <w:r w:rsidR="00F22846" w:rsidRPr="000B2CB1">
        <w:rPr>
          <w:rFonts w:ascii="Book Antiqua" w:hAnsi="Book Antiqua"/>
          <w:sz w:val="24"/>
          <w:szCs w:val="24"/>
        </w:rPr>
        <w:t>that encompass</w:t>
      </w:r>
      <w:r w:rsidR="00315989" w:rsidRPr="000B2CB1">
        <w:rPr>
          <w:rFonts w:ascii="Book Antiqua" w:hAnsi="Book Antiqua"/>
          <w:sz w:val="24"/>
          <w:szCs w:val="24"/>
        </w:rPr>
        <w:t>es</w:t>
      </w:r>
      <w:r w:rsidR="00F22846" w:rsidRPr="000B2CB1">
        <w:rPr>
          <w:rFonts w:ascii="Book Antiqua" w:hAnsi="Book Antiqua"/>
          <w:sz w:val="24"/>
          <w:szCs w:val="24"/>
        </w:rPr>
        <w:t xml:space="preserve"> social, political, ethical, and cultural processes i</w:t>
      </w:r>
      <w:r w:rsidR="002D4B87" w:rsidRPr="000B2CB1">
        <w:rPr>
          <w:rFonts w:ascii="Book Antiqua" w:hAnsi="Book Antiqua"/>
          <w:sz w:val="24"/>
          <w:szCs w:val="24"/>
        </w:rPr>
        <w:t xml:space="preserve">n relation to sexual difference; a figure that </w:t>
      </w:r>
      <w:r w:rsidR="007F146A" w:rsidRPr="000B2CB1">
        <w:rPr>
          <w:rFonts w:ascii="Book Antiqua" w:hAnsi="Book Antiqua"/>
          <w:sz w:val="24"/>
          <w:szCs w:val="24"/>
        </w:rPr>
        <w:t xml:space="preserve">indicates </w:t>
      </w:r>
      <w:r w:rsidR="002D4B87" w:rsidRPr="000B2CB1">
        <w:rPr>
          <w:rFonts w:ascii="Book Antiqua" w:hAnsi="Book Antiqua"/>
          <w:sz w:val="24"/>
          <w:szCs w:val="24"/>
        </w:rPr>
        <w:t xml:space="preserve">new possibilities for meaning – meanings that are located, historical and specific to the horizon of their appearance. </w:t>
      </w:r>
      <w:r w:rsidR="00F22846" w:rsidRPr="000B2CB1">
        <w:rPr>
          <w:rFonts w:ascii="Book Antiqua" w:hAnsi="Book Antiqua"/>
          <w:sz w:val="24"/>
          <w:szCs w:val="24"/>
        </w:rPr>
        <w:t>In particular,</w:t>
      </w:r>
      <w:r w:rsidR="00315989" w:rsidRPr="000B2CB1">
        <w:rPr>
          <w:rFonts w:ascii="Book Antiqua" w:hAnsi="Book Antiqua"/>
          <w:sz w:val="24"/>
          <w:szCs w:val="24"/>
        </w:rPr>
        <w:t xml:space="preserve"> we seek</w:t>
      </w:r>
      <w:r w:rsidR="00DE116A" w:rsidRPr="000B2CB1">
        <w:rPr>
          <w:rFonts w:ascii="Book Antiqua" w:hAnsi="Book Antiqua"/>
          <w:sz w:val="24"/>
          <w:szCs w:val="24"/>
        </w:rPr>
        <w:t xml:space="preserve"> to </w:t>
      </w:r>
      <w:r w:rsidR="00315989" w:rsidRPr="000B2CB1">
        <w:rPr>
          <w:rFonts w:ascii="Book Antiqua" w:hAnsi="Book Antiqua"/>
          <w:sz w:val="24"/>
          <w:szCs w:val="24"/>
        </w:rPr>
        <w:t>reconsider</w:t>
      </w:r>
      <w:r w:rsidR="00F22846" w:rsidRPr="000B2CB1">
        <w:rPr>
          <w:rFonts w:ascii="Book Antiqua" w:hAnsi="Book Antiqua"/>
          <w:sz w:val="24"/>
          <w:szCs w:val="24"/>
        </w:rPr>
        <w:t xml:space="preserve"> </w:t>
      </w:r>
      <w:r w:rsidR="007F146A" w:rsidRPr="000B2CB1">
        <w:rPr>
          <w:rFonts w:ascii="Book Antiqua" w:hAnsi="Book Antiqua"/>
          <w:sz w:val="24"/>
          <w:szCs w:val="24"/>
        </w:rPr>
        <w:t>Irigaray’s</w:t>
      </w:r>
      <w:r w:rsidR="002D4B87" w:rsidRPr="000B2CB1">
        <w:rPr>
          <w:rFonts w:ascii="Book Antiqua" w:hAnsi="Book Antiqua"/>
          <w:sz w:val="24"/>
          <w:szCs w:val="24"/>
        </w:rPr>
        <w:t xml:space="preserve"> call to bring </w:t>
      </w:r>
      <w:r w:rsidR="007F146A" w:rsidRPr="000B2CB1">
        <w:rPr>
          <w:rFonts w:ascii="Book Antiqua" w:hAnsi="Book Antiqua"/>
          <w:sz w:val="24"/>
          <w:szCs w:val="24"/>
        </w:rPr>
        <w:t>in</w:t>
      </w:r>
      <w:r w:rsidR="002D4B87" w:rsidRPr="000B2CB1">
        <w:rPr>
          <w:rFonts w:ascii="Book Antiqua" w:hAnsi="Book Antiqua"/>
          <w:sz w:val="24"/>
          <w:szCs w:val="24"/>
        </w:rPr>
        <w:t xml:space="preserve">to view the appearance of </w:t>
      </w:r>
      <w:r w:rsidR="002D4B87" w:rsidRPr="000B2CB1">
        <w:rPr>
          <w:rFonts w:ascii="Book Antiqua" w:hAnsi="Book Antiqua"/>
          <w:sz w:val="24"/>
          <w:szCs w:val="24"/>
        </w:rPr>
        <w:lastRenderedPageBreak/>
        <w:t>sexual difference as a question for our time</w:t>
      </w:r>
      <w:r w:rsidR="007F146A" w:rsidRPr="000B2CB1">
        <w:rPr>
          <w:rFonts w:ascii="Book Antiqua" w:hAnsi="Book Antiqua"/>
          <w:sz w:val="24"/>
          <w:szCs w:val="24"/>
        </w:rPr>
        <w:t xml:space="preserve">, as well as problematize the </w:t>
      </w:r>
      <w:r w:rsidR="002D4B87" w:rsidRPr="000B2CB1">
        <w:rPr>
          <w:rFonts w:ascii="Book Antiqua" w:hAnsi="Book Antiqua"/>
          <w:sz w:val="24"/>
          <w:szCs w:val="24"/>
        </w:rPr>
        <w:t>centrality of this claim. Does sexual difference open up other horizons of difference or occlude them? How can we conceive horizon</w:t>
      </w:r>
      <w:r w:rsidR="002D4B87" w:rsidRPr="000B2CB1">
        <w:rPr>
          <w:rFonts w:ascii="Book Antiqua" w:hAnsi="Book Antiqua"/>
          <w:b/>
          <w:i/>
          <w:sz w:val="24"/>
          <w:szCs w:val="24"/>
        </w:rPr>
        <w:t>s</w:t>
      </w:r>
      <w:r w:rsidR="002D4B87" w:rsidRPr="000B2CB1">
        <w:rPr>
          <w:rFonts w:ascii="Book Antiqua" w:hAnsi="Book Antiqua"/>
          <w:sz w:val="24"/>
          <w:szCs w:val="24"/>
        </w:rPr>
        <w:t xml:space="preserve"> of sexual difference? </w:t>
      </w:r>
    </w:p>
    <w:p w14:paraId="256241B7" w14:textId="77777777" w:rsidR="00415047" w:rsidRPr="000B2CB1" w:rsidRDefault="00415047" w:rsidP="000B2CB1">
      <w:pPr>
        <w:jc w:val="both"/>
        <w:rPr>
          <w:rFonts w:ascii="Book Antiqua" w:hAnsi="Book Antiqua"/>
          <w:sz w:val="24"/>
          <w:szCs w:val="24"/>
        </w:rPr>
      </w:pPr>
      <w:r w:rsidRPr="000B2CB1">
        <w:rPr>
          <w:rFonts w:ascii="Book Antiqua" w:hAnsi="Book Antiqua"/>
          <w:sz w:val="24"/>
          <w:szCs w:val="24"/>
        </w:rPr>
        <w:t>The 9</w:t>
      </w:r>
      <w:r w:rsidRPr="000B2CB1">
        <w:rPr>
          <w:rFonts w:ascii="Book Antiqua" w:hAnsi="Book Antiqua"/>
          <w:sz w:val="24"/>
          <w:szCs w:val="24"/>
          <w:vertAlign w:val="superscript"/>
        </w:rPr>
        <w:t>th</w:t>
      </w:r>
      <w:r w:rsidRPr="000B2CB1">
        <w:rPr>
          <w:rFonts w:ascii="Book Antiqua" w:hAnsi="Book Antiqua"/>
          <w:sz w:val="24"/>
          <w:szCs w:val="24"/>
        </w:rPr>
        <w:t xml:space="preserve"> meeting of the Luce Irigaray Circle will initiate conversations between this broader context of the figure of the horizon and sexual difference, and invites papers, panels, presentations, and performances that contribute to our understanding of the contemporary world by critically re-assessing and furthering the figure of </w:t>
      </w:r>
      <w:r w:rsidR="000B2CB1" w:rsidRPr="000B2CB1">
        <w:rPr>
          <w:rFonts w:ascii="Book Antiqua" w:hAnsi="Book Antiqua"/>
          <w:sz w:val="24"/>
          <w:szCs w:val="24"/>
        </w:rPr>
        <w:t xml:space="preserve">the </w:t>
      </w:r>
      <w:r w:rsidRPr="000B2CB1">
        <w:rPr>
          <w:rFonts w:ascii="Book Antiqua" w:hAnsi="Book Antiqua"/>
          <w:sz w:val="24"/>
          <w:szCs w:val="24"/>
        </w:rPr>
        <w:t>horizon and the</w:t>
      </w:r>
      <w:r w:rsidR="000B2CB1" w:rsidRPr="000B2CB1">
        <w:rPr>
          <w:rFonts w:ascii="Book Antiqua" w:hAnsi="Book Antiqua"/>
          <w:sz w:val="24"/>
          <w:szCs w:val="24"/>
        </w:rPr>
        <w:t xml:space="preserve"> concept of sexual difference. </w:t>
      </w:r>
      <w:r w:rsidRPr="000B2CB1">
        <w:rPr>
          <w:rFonts w:ascii="Book Antiqua" w:hAnsi="Book Antiqua"/>
          <w:sz w:val="24"/>
          <w:szCs w:val="24"/>
        </w:rPr>
        <w:t xml:space="preserve">Please note </w:t>
      </w:r>
      <w:r w:rsidR="000B2CB1" w:rsidRPr="000B2CB1">
        <w:rPr>
          <w:rFonts w:ascii="Book Antiqua" w:hAnsi="Book Antiqua"/>
          <w:sz w:val="24"/>
          <w:szCs w:val="24"/>
        </w:rPr>
        <w:t xml:space="preserve">all creative work and scholarship on or inspired by Irigaray’s thought will be considered. </w:t>
      </w:r>
      <w:r w:rsidRPr="000B2CB1">
        <w:rPr>
          <w:rFonts w:ascii="Book Antiqua" w:hAnsi="Book Antiqua"/>
          <w:sz w:val="24"/>
          <w:szCs w:val="24"/>
        </w:rPr>
        <w:t>However, the circle especially welcomes submissions that address the following topics for inclusion in a number of thematically organized panels</w:t>
      </w:r>
      <w:r w:rsidR="000B2CB1" w:rsidRPr="000B2CB1">
        <w:rPr>
          <w:rFonts w:ascii="Book Antiqua" w:hAnsi="Book Antiqua"/>
          <w:sz w:val="24"/>
          <w:szCs w:val="24"/>
        </w:rPr>
        <w:t>:</w:t>
      </w:r>
    </w:p>
    <w:p w14:paraId="457FC5B9" w14:textId="3929673E" w:rsidR="00C91BD1" w:rsidRDefault="00C91BD1" w:rsidP="000B2CB1">
      <w:pPr>
        <w:pStyle w:val="ListParagraph"/>
        <w:numPr>
          <w:ilvl w:val="0"/>
          <w:numId w:val="1"/>
        </w:numPr>
        <w:jc w:val="both"/>
        <w:rPr>
          <w:rFonts w:ascii="Book Antiqua" w:hAnsi="Book Antiqua"/>
          <w:sz w:val="24"/>
          <w:szCs w:val="24"/>
        </w:rPr>
      </w:pPr>
      <w:r w:rsidRPr="000B2CB1">
        <w:rPr>
          <w:rFonts w:ascii="Book Antiqua" w:hAnsi="Book Antiqua"/>
          <w:sz w:val="24"/>
          <w:szCs w:val="24"/>
        </w:rPr>
        <w:t>Decolonizing Sexual Difference</w:t>
      </w:r>
    </w:p>
    <w:p w14:paraId="046A99C8" w14:textId="39F79414" w:rsidR="00064121" w:rsidRPr="000B2CB1" w:rsidRDefault="00064121" w:rsidP="000B2CB1">
      <w:pPr>
        <w:pStyle w:val="ListParagraph"/>
        <w:numPr>
          <w:ilvl w:val="0"/>
          <w:numId w:val="1"/>
        </w:numPr>
        <w:jc w:val="both"/>
        <w:rPr>
          <w:rFonts w:ascii="Book Antiqua" w:hAnsi="Book Antiqua"/>
          <w:sz w:val="24"/>
          <w:szCs w:val="24"/>
        </w:rPr>
      </w:pPr>
      <w:r>
        <w:rPr>
          <w:rFonts w:ascii="Book Antiqua" w:hAnsi="Book Antiqua"/>
          <w:sz w:val="24"/>
          <w:szCs w:val="24"/>
        </w:rPr>
        <w:t>Race and Sexual Difference</w:t>
      </w:r>
    </w:p>
    <w:p w14:paraId="51D1258B" w14:textId="77777777" w:rsidR="00C91BD1" w:rsidRPr="000B2CB1" w:rsidRDefault="00C91BD1" w:rsidP="000B2CB1">
      <w:pPr>
        <w:pStyle w:val="ListParagraph"/>
        <w:numPr>
          <w:ilvl w:val="0"/>
          <w:numId w:val="1"/>
        </w:numPr>
        <w:jc w:val="both"/>
        <w:rPr>
          <w:rFonts w:ascii="Book Antiqua" w:hAnsi="Book Antiqua"/>
          <w:sz w:val="24"/>
          <w:szCs w:val="24"/>
        </w:rPr>
      </w:pPr>
      <w:r w:rsidRPr="000B2CB1">
        <w:rPr>
          <w:rFonts w:ascii="Book Antiqua" w:hAnsi="Book Antiqua"/>
          <w:sz w:val="24"/>
          <w:szCs w:val="24"/>
        </w:rPr>
        <w:t>Performativity and Sexual Difference</w:t>
      </w:r>
    </w:p>
    <w:p w14:paraId="5F9A2F71" w14:textId="77777777" w:rsidR="00C91BD1" w:rsidRPr="000B2CB1" w:rsidRDefault="00C91BD1" w:rsidP="000B2CB1">
      <w:pPr>
        <w:pStyle w:val="ListParagraph"/>
        <w:numPr>
          <w:ilvl w:val="0"/>
          <w:numId w:val="1"/>
        </w:numPr>
        <w:jc w:val="both"/>
        <w:rPr>
          <w:rFonts w:ascii="Book Antiqua" w:hAnsi="Book Antiqua"/>
          <w:sz w:val="24"/>
          <w:szCs w:val="24"/>
        </w:rPr>
      </w:pPr>
      <w:r w:rsidRPr="000B2CB1">
        <w:rPr>
          <w:rFonts w:ascii="Book Antiqua" w:hAnsi="Book Antiqua"/>
          <w:sz w:val="24"/>
          <w:szCs w:val="24"/>
        </w:rPr>
        <w:t>Trans and Sexual Difference</w:t>
      </w:r>
    </w:p>
    <w:p w14:paraId="391AFC1C" w14:textId="77777777" w:rsidR="00492315" w:rsidRPr="000B2CB1" w:rsidRDefault="000B2CB1" w:rsidP="000B2CB1">
      <w:pPr>
        <w:pStyle w:val="ListParagraph"/>
        <w:numPr>
          <w:ilvl w:val="0"/>
          <w:numId w:val="1"/>
        </w:numPr>
        <w:jc w:val="both"/>
        <w:rPr>
          <w:rFonts w:ascii="Book Antiqua" w:hAnsi="Book Antiqua"/>
          <w:sz w:val="24"/>
          <w:szCs w:val="24"/>
        </w:rPr>
      </w:pPr>
      <w:r w:rsidRPr="000B2CB1">
        <w:rPr>
          <w:rFonts w:ascii="Book Antiqua" w:hAnsi="Book Antiqua"/>
          <w:sz w:val="24"/>
          <w:szCs w:val="24"/>
        </w:rPr>
        <w:t xml:space="preserve">the </w:t>
      </w:r>
      <w:r w:rsidR="002E7660" w:rsidRPr="000B2CB1">
        <w:rPr>
          <w:rFonts w:ascii="Book Antiqua" w:hAnsi="Book Antiqua"/>
          <w:sz w:val="24"/>
          <w:szCs w:val="24"/>
        </w:rPr>
        <w:t>Global South and Sexual Difference</w:t>
      </w:r>
    </w:p>
    <w:p w14:paraId="3DA463E0" w14:textId="6639EF5B" w:rsidR="002E7660" w:rsidRDefault="00435640" w:rsidP="000B2CB1">
      <w:pPr>
        <w:pStyle w:val="ListParagraph"/>
        <w:numPr>
          <w:ilvl w:val="0"/>
          <w:numId w:val="1"/>
        </w:numPr>
        <w:jc w:val="both"/>
        <w:rPr>
          <w:rFonts w:ascii="Book Antiqua" w:hAnsi="Book Antiqua"/>
          <w:sz w:val="24"/>
          <w:szCs w:val="24"/>
        </w:rPr>
      </w:pPr>
      <w:r>
        <w:rPr>
          <w:rFonts w:ascii="Book Antiqua" w:hAnsi="Book Antiqua"/>
          <w:sz w:val="24"/>
          <w:szCs w:val="24"/>
        </w:rPr>
        <w:t>Sexual Difference across borders, including Sexual Difference and War, Sexual Difference and Migration</w:t>
      </w:r>
    </w:p>
    <w:p w14:paraId="57A06626" w14:textId="5B5B8F3E" w:rsidR="00435640" w:rsidRPr="00435640" w:rsidRDefault="00435640" w:rsidP="00435640">
      <w:pPr>
        <w:pStyle w:val="ListParagraph"/>
        <w:numPr>
          <w:ilvl w:val="0"/>
          <w:numId w:val="1"/>
        </w:numPr>
        <w:jc w:val="both"/>
        <w:rPr>
          <w:rFonts w:ascii="Book Antiqua" w:hAnsi="Book Antiqua"/>
          <w:sz w:val="24"/>
          <w:szCs w:val="24"/>
        </w:rPr>
      </w:pPr>
      <w:r w:rsidRPr="000B2CB1">
        <w:rPr>
          <w:rFonts w:ascii="Book Antiqua" w:hAnsi="Book Antiqua"/>
          <w:sz w:val="24"/>
          <w:szCs w:val="24"/>
        </w:rPr>
        <w:t>Deploying the horizon against itself</w:t>
      </w:r>
    </w:p>
    <w:p w14:paraId="66985E3E" w14:textId="77E61F77" w:rsidR="00930509" w:rsidRDefault="000B2CB1" w:rsidP="000B2CB1">
      <w:pPr>
        <w:jc w:val="both"/>
        <w:rPr>
          <w:rFonts w:ascii="Book Antiqua" w:hAnsi="Book Antiqua"/>
          <w:sz w:val="24"/>
          <w:szCs w:val="24"/>
        </w:rPr>
      </w:pPr>
      <w:r w:rsidRPr="000B2CB1">
        <w:rPr>
          <w:rFonts w:ascii="Book Antiqua" w:hAnsi="Book Antiqua"/>
          <w:sz w:val="24"/>
          <w:szCs w:val="24"/>
        </w:rPr>
        <w:t>I</w:t>
      </w:r>
      <w:r w:rsidR="00EF6EEE" w:rsidRPr="000B2CB1">
        <w:rPr>
          <w:rFonts w:ascii="Book Antiqua" w:hAnsi="Book Antiqua"/>
          <w:sz w:val="24"/>
          <w:szCs w:val="24"/>
        </w:rPr>
        <w:t>n</w:t>
      </w:r>
      <w:r w:rsidR="00930509" w:rsidRPr="000B2CB1">
        <w:rPr>
          <w:rFonts w:ascii="Book Antiqua" w:hAnsi="Book Antiqua"/>
          <w:sz w:val="24"/>
          <w:szCs w:val="24"/>
        </w:rPr>
        <w:t xml:space="preserve"> addition to plenary session speakers</w:t>
      </w:r>
      <w:r w:rsidR="00EF6EEE" w:rsidRPr="000B2CB1">
        <w:rPr>
          <w:rFonts w:ascii="Book Antiqua" w:hAnsi="Book Antiqua"/>
          <w:sz w:val="24"/>
          <w:szCs w:val="24"/>
        </w:rPr>
        <w:t>, the conference will organize thematically appropriate parallel sessions across a broad range of disciplines presented in 2</w:t>
      </w:r>
      <w:r w:rsidR="00930509" w:rsidRPr="000B2CB1">
        <w:rPr>
          <w:rFonts w:ascii="Book Antiqua" w:hAnsi="Book Antiqua"/>
          <w:sz w:val="24"/>
          <w:szCs w:val="24"/>
        </w:rPr>
        <w:t>0 minute</w:t>
      </w:r>
      <w:r w:rsidR="00EF6EEE" w:rsidRPr="000B2CB1">
        <w:rPr>
          <w:rFonts w:ascii="Book Antiqua" w:hAnsi="Book Antiqua"/>
          <w:sz w:val="24"/>
          <w:szCs w:val="24"/>
        </w:rPr>
        <w:t xml:space="preserve"> talks/presentations</w:t>
      </w:r>
      <w:r w:rsidR="00930509" w:rsidRPr="000B2CB1">
        <w:rPr>
          <w:rFonts w:ascii="Book Antiqua" w:hAnsi="Book Antiqua"/>
          <w:sz w:val="24"/>
          <w:szCs w:val="24"/>
        </w:rPr>
        <w:t xml:space="preserve"> with 10 minutes for discussion.  If you would like to participate, please send the following information to </w:t>
      </w:r>
      <w:hyperlink r:id="rId7" w:history="1">
        <w:r w:rsidR="00064121" w:rsidRPr="00380834">
          <w:rPr>
            <w:rStyle w:val="Hyperlink"/>
            <w:rFonts w:ascii="Book Antiqua" w:hAnsi="Book Antiqua"/>
            <w:sz w:val="24"/>
            <w:szCs w:val="24"/>
          </w:rPr>
          <w:t>irigaray06@gmail.com</w:t>
        </w:r>
      </w:hyperlink>
      <w:r w:rsidR="00064121">
        <w:rPr>
          <w:rFonts w:ascii="Book Antiqua" w:hAnsi="Book Antiqua"/>
          <w:sz w:val="24"/>
          <w:szCs w:val="24"/>
        </w:rPr>
        <w:t xml:space="preserve"> </w:t>
      </w:r>
      <w:r w:rsidR="00930509" w:rsidRPr="000B2CB1">
        <w:rPr>
          <w:rFonts w:ascii="Book Antiqua" w:hAnsi="Book Antiqua"/>
          <w:sz w:val="24"/>
          <w:szCs w:val="24"/>
        </w:rPr>
        <w:t>by </w:t>
      </w:r>
      <w:r w:rsidR="00EF6EEE" w:rsidRPr="000B2CB1">
        <w:rPr>
          <w:rFonts w:ascii="Book Antiqua" w:hAnsi="Book Antiqua"/>
          <w:b/>
          <w:bCs/>
          <w:sz w:val="24"/>
          <w:szCs w:val="24"/>
        </w:rPr>
        <w:t>March</w:t>
      </w:r>
      <w:r w:rsidR="00E428DA" w:rsidRPr="000B2CB1">
        <w:rPr>
          <w:rFonts w:ascii="Book Antiqua" w:hAnsi="Book Antiqua"/>
          <w:b/>
          <w:bCs/>
          <w:sz w:val="24"/>
          <w:szCs w:val="24"/>
        </w:rPr>
        <w:t xml:space="preserve"> 1,</w:t>
      </w:r>
      <w:r w:rsidR="00EF6EEE" w:rsidRPr="000B2CB1">
        <w:rPr>
          <w:rFonts w:ascii="Book Antiqua" w:hAnsi="Book Antiqua"/>
          <w:b/>
          <w:bCs/>
          <w:sz w:val="24"/>
          <w:szCs w:val="24"/>
        </w:rPr>
        <w:t xml:space="preserve"> 2018</w:t>
      </w:r>
      <w:r w:rsidR="00930509" w:rsidRPr="000B2CB1">
        <w:rPr>
          <w:rFonts w:ascii="Book Antiqua" w:hAnsi="Book Antiqua"/>
          <w:sz w:val="24"/>
          <w:szCs w:val="24"/>
        </w:rPr>
        <w:t>.</w:t>
      </w:r>
      <w:r w:rsidR="00EF6EEE" w:rsidRPr="000B2CB1">
        <w:rPr>
          <w:rFonts w:ascii="Book Antiqua" w:hAnsi="Book Antiqua"/>
          <w:sz w:val="24"/>
          <w:szCs w:val="24"/>
        </w:rPr>
        <w:t xml:space="preserve"> </w:t>
      </w:r>
      <w:r w:rsidRPr="000B2CB1">
        <w:rPr>
          <w:rFonts w:ascii="Book Antiqua" w:hAnsi="Book Antiqua"/>
          <w:sz w:val="24"/>
          <w:szCs w:val="24"/>
        </w:rPr>
        <w:t>(</w:t>
      </w:r>
      <w:r w:rsidR="00EF6EEE" w:rsidRPr="000B2CB1">
        <w:rPr>
          <w:rFonts w:ascii="Book Antiqua" w:hAnsi="Book Antiqua"/>
          <w:sz w:val="24"/>
          <w:szCs w:val="24"/>
        </w:rPr>
        <w:t xml:space="preserve">Earlier review processes are available by request to accommodate </w:t>
      </w:r>
      <w:r w:rsidR="00E428DA" w:rsidRPr="000B2CB1">
        <w:rPr>
          <w:rFonts w:ascii="Book Antiqua" w:hAnsi="Book Antiqua"/>
          <w:sz w:val="24"/>
          <w:szCs w:val="24"/>
        </w:rPr>
        <w:t>travel</w:t>
      </w:r>
      <w:r w:rsidR="00EF6EEE" w:rsidRPr="000B2CB1">
        <w:rPr>
          <w:rFonts w:ascii="Book Antiqua" w:hAnsi="Book Antiqua"/>
          <w:sz w:val="24"/>
          <w:szCs w:val="24"/>
        </w:rPr>
        <w:t xml:space="preserve"> considerations.</w:t>
      </w:r>
      <w:r w:rsidRPr="000B2CB1">
        <w:rPr>
          <w:rFonts w:ascii="Book Antiqua" w:hAnsi="Book Antiqua"/>
          <w:sz w:val="24"/>
          <w:szCs w:val="24"/>
        </w:rPr>
        <w:t>)</w:t>
      </w:r>
    </w:p>
    <w:p w14:paraId="5C2E5C93" w14:textId="6E7B0D8A" w:rsidR="00435640" w:rsidRDefault="00435640" w:rsidP="00435640">
      <w:pPr>
        <w:pStyle w:val="ListParagraph"/>
        <w:numPr>
          <w:ilvl w:val="0"/>
          <w:numId w:val="5"/>
        </w:numPr>
        <w:jc w:val="both"/>
        <w:rPr>
          <w:rFonts w:ascii="Book Antiqua" w:hAnsi="Book Antiqua"/>
          <w:sz w:val="24"/>
          <w:szCs w:val="24"/>
        </w:rPr>
      </w:pPr>
      <w:r>
        <w:rPr>
          <w:rFonts w:ascii="Book Antiqua" w:hAnsi="Book Antiqua"/>
          <w:sz w:val="24"/>
          <w:szCs w:val="24"/>
        </w:rPr>
        <w:t>The title of your paper</w:t>
      </w:r>
    </w:p>
    <w:p w14:paraId="01C351AF" w14:textId="614E2D24" w:rsidR="00435640" w:rsidRDefault="00435640" w:rsidP="00435640">
      <w:pPr>
        <w:pStyle w:val="ListParagraph"/>
        <w:numPr>
          <w:ilvl w:val="0"/>
          <w:numId w:val="5"/>
        </w:numPr>
        <w:jc w:val="both"/>
        <w:rPr>
          <w:rFonts w:ascii="Book Antiqua" w:hAnsi="Book Antiqua"/>
          <w:sz w:val="24"/>
          <w:szCs w:val="24"/>
        </w:rPr>
      </w:pPr>
      <w:r>
        <w:rPr>
          <w:rFonts w:ascii="Book Antiqua" w:hAnsi="Book Antiqua"/>
          <w:sz w:val="24"/>
          <w:szCs w:val="24"/>
        </w:rPr>
        <w:t>An abstract (max 300 words)</w:t>
      </w:r>
    </w:p>
    <w:p w14:paraId="0F26A123" w14:textId="0AD0C631" w:rsidR="00435640" w:rsidRDefault="00435640" w:rsidP="00435640">
      <w:pPr>
        <w:pStyle w:val="ListParagraph"/>
        <w:numPr>
          <w:ilvl w:val="0"/>
          <w:numId w:val="5"/>
        </w:numPr>
        <w:jc w:val="both"/>
        <w:rPr>
          <w:rFonts w:ascii="Book Antiqua" w:hAnsi="Book Antiqua"/>
          <w:sz w:val="24"/>
          <w:szCs w:val="24"/>
        </w:rPr>
      </w:pPr>
      <w:r>
        <w:rPr>
          <w:rFonts w:ascii="Book Antiqua" w:hAnsi="Book Antiqua"/>
          <w:sz w:val="24"/>
          <w:szCs w:val="24"/>
        </w:rPr>
        <w:t>5 keywords</w:t>
      </w:r>
    </w:p>
    <w:p w14:paraId="06500F3C" w14:textId="0CAF4BCE" w:rsidR="00435640" w:rsidRPr="00435640" w:rsidRDefault="00435640" w:rsidP="00064121">
      <w:pPr>
        <w:pStyle w:val="ListParagraph"/>
        <w:numPr>
          <w:ilvl w:val="0"/>
          <w:numId w:val="5"/>
        </w:numPr>
        <w:rPr>
          <w:rFonts w:ascii="Book Antiqua" w:hAnsi="Book Antiqua"/>
          <w:sz w:val="24"/>
          <w:szCs w:val="24"/>
        </w:rPr>
      </w:pPr>
      <w:r>
        <w:rPr>
          <w:rFonts w:ascii="Book Antiqua" w:hAnsi="Book Antiqua"/>
          <w:sz w:val="24"/>
          <w:szCs w:val="24"/>
        </w:rPr>
        <w:t>A list of no more than six reference (not to be included in the word count)</w:t>
      </w:r>
    </w:p>
    <w:p w14:paraId="5FC8876E" w14:textId="348DA616" w:rsidR="00C801B0" w:rsidRPr="000B2CB1" w:rsidRDefault="00930509" w:rsidP="000B2CB1">
      <w:pPr>
        <w:jc w:val="both"/>
        <w:rPr>
          <w:rFonts w:ascii="Book Antiqua" w:hAnsi="Book Antiqua"/>
          <w:sz w:val="24"/>
          <w:szCs w:val="24"/>
        </w:rPr>
      </w:pPr>
      <w:r w:rsidRPr="000B2CB1">
        <w:rPr>
          <w:rFonts w:ascii="Book Antiqua" w:hAnsi="Book Antiqua"/>
          <w:sz w:val="24"/>
          <w:szCs w:val="24"/>
        </w:rPr>
        <w:t>In addition, the Irigaray Circle will sponsor the 6th annual Karen Burke Memorial Prize, awarded to the best paper submitted by a graduate student or</w:t>
      </w:r>
      <w:r w:rsidR="00EF6EEE" w:rsidRPr="000B2CB1">
        <w:rPr>
          <w:rFonts w:ascii="Book Antiqua" w:hAnsi="Book Antiqua"/>
          <w:sz w:val="24"/>
          <w:szCs w:val="24"/>
        </w:rPr>
        <w:t xml:space="preserve"> recent PhD (PhD awarded in 2012</w:t>
      </w:r>
      <w:r w:rsidRPr="000B2CB1">
        <w:rPr>
          <w:rFonts w:ascii="Book Antiqua" w:hAnsi="Book Antiqua"/>
          <w:sz w:val="24"/>
          <w:szCs w:val="24"/>
        </w:rPr>
        <w:t xml:space="preserve"> or later.) The winner of the competition will give the Karen Burke Memorial Prize Lecture </w:t>
      </w:r>
      <w:r w:rsidR="00EF6EEE" w:rsidRPr="000B2CB1">
        <w:rPr>
          <w:rFonts w:ascii="Book Antiqua" w:hAnsi="Book Antiqua"/>
          <w:sz w:val="24"/>
          <w:szCs w:val="24"/>
        </w:rPr>
        <w:t>at a plenary session of the 2018</w:t>
      </w:r>
      <w:r w:rsidRPr="000B2CB1">
        <w:rPr>
          <w:rFonts w:ascii="Book Antiqua" w:hAnsi="Book Antiqua"/>
          <w:sz w:val="24"/>
          <w:szCs w:val="24"/>
        </w:rPr>
        <w:t xml:space="preserve"> conference. Complete papers should be submitted to </w:t>
      </w:r>
      <w:hyperlink r:id="rId8" w:history="1">
        <w:r w:rsidRPr="000B2CB1">
          <w:rPr>
            <w:rStyle w:val="Hyperlink"/>
            <w:rFonts w:ascii="Book Antiqua" w:hAnsi="Book Antiqua"/>
            <w:sz w:val="24"/>
            <w:szCs w:val="24"/>
          </w:rPr>
          <w:t>irigaray06@gmail.com</w:t>
        </w:r>
      </w:hyperlink>
      <w:r w:rsidRPr="000B2CB1">
        <w:rPr>
          <w:rFonts w:ascii="Book Antiqua" w:hAnsi="Book Antiqua"/>
          <w:sz w:val="24"/>
          <w:szCs w:val="24"/>
        </w:rPr>
        <w:t> by March 31st, 201</w:t>
      </w:r>
      <w:r w:rsidR="00064121">
        <w:rPr>
          <w:rFonts w:ascii="Book Antiqua" w:hAnsi="Book Antiqua"/>
          <w:sz w:val="24"/>
          <w:szCs w:val="24"/>
        </w:rPr>
        <w:t>8</w:t>
      </w:r>
      <w:r w:rsidRPr="000B2CB1">
        <w:rPr>
          <w:rFonts w:ascii="Book Antiqua" w:hAnsi="Book Antiqua"/>
          <w:sz w:val="24"/>
          <w:szCs w:val="24"/>
        </w:rPr>
        <w:t>. </w:t>
      </w:r>
    </w:p>
    <w:p w14:paraId="2B0067FF" w14:textId="77777777" w:rsidR="00E51A72" w:rsidRPr="000B2CB1" w:rsidRDefault="000B2CB1" w:rsidP="000B2CB1">
      <w:pPr>
        <w:jc w:val="both"/>
        <w:rPr>
          <w:rFonts w:ascii="Book Antiqua" w:hAnsi="Book Antiqua"/>
          <w:sz w:val="24"/>
          <w:szCs w:val="24"/>
        </w:rPr>
      </w:pPr>
      <w:r w:rsidRPr="000B2CB1">
        <w:rPr>
          <w:rFonts w:ascii="Book Antiqua" w:hAnsi="Book Antiqua"/>
          <w:b/>
          <w:sz w:val="24"/>
          <w:szCs w:val="24"/>
        </w:rPr>
        <w:t>A note on the location:</w:t>
      </w:r>
      <w:r>
        <w:rPr>
          <w:rFonts w:ascii="Book Antiqua" w:hAnsi="Book Antiqua"/>
          <w:sz w:val="24"/>
          <w:szCs w:val="24"/>
        </w:rPr>
        <w:t xml:space="preserve"> </w:t>
      </w:r>
      <w:r w:rsidR="00E51A72" w:rsidRPr="000B2CB1">
        <w:rPr>
          <w:rFonts w:ascii="Book Antiqua" w:hAnsi="Book Antiqua"/>
          <w:sz w:val="24"/>
          <w:szCs w:val="24"/>
        </w:rPr>
        <w:t xml:space="preserve">Brock University is located in St Catharines, a relatively small city surrounded by the winemaking Niagara region of Southern Ontario, Canada.  We </w:t>
      </w:r>
      <w:r w:rsidR="00E51A72" w:rsidRPr="000B2CB1">
        <w:rPr>
          <w:rFonts w:ascii="Book Antiqua" w:hAnsi="Book Antiqua"/>
          <w:sz w:val="24"/>
          <w:szCs w:val="24"/>
        </w:rPr>
        <w:lastRenderedPageBreak/>
        <w:t>are a short distance from Buffalo, New York, easily accessible by car or transit,</w:t>
      </w:r>
      <w:r>
        <w:rPr>
          <w:rFonts w:ascii="Book Antiqua" w:hAnsi="Book Antiqua"/>
          <w:sz w:val="24"/>
          <w:szCs w:val="24"/>
        </w:rPr>
        <w:t xml:space="preserve"> 20 minutes from Niagara Falls, Canada,</w:t>
      </w:r>
      <w:r w:rsidR="00E51A72" w:rsidRPr="000B2CB1">
        <w:rPr>
          <w:rFonts w:ascii="Book Antiqua" w:hAnsi="Book Antiqua"/>
          <w:sz w:val="24"/>
          <w:szCs w:val="24"/>
        </w:rPr>
        <w:t xml:space="preserve"> and a roughly one-hour drive from Toronto.</w:t>
      </w:r>
      <w:r>
        <w:rPr>
          <w:rFonts w:ascii="Book Antiqua" w:hAnsi="Book Antiqua"/>
          <w:sz w:val="24"/>
          <w:szCs w:val="24"/>
        </w:rPr>
        <w:t xml:space="preserve"> </w:t>
      </w:r>
      <w:r w:rsidR="00E51A72" w:rsidRPr="000B2CB1">
        <w:rPr>
          <w:rFonts w:ascii="Book Antiqua" w:hAnsi="Book Antiqua"/>
          <w:sz w:val="24"/>
          <w:szCs w:val="24"/>
        </w:rPr>
        <w:t xml:space="preserve"> </w:t>
      </w:r>
    </w:p>
    <w:p w14:paraId="49A25DBB" w14:textId="77777777" w:rsidR="004254AD" w:rsidRPr="000B2CB1" w:rsidRDefault="004254AD" w:rsidP="000B2CB1">
      <w:pPr>
        <w:jc w:val="both"/>
        <w:rPr>
          <w:rFonts w:ascii="Book Antiqua" w:hAnsi="Book Antiqua"/>
          <w:sz w:val="24"/>
          <w:szCs w:val="24"/>
        </w:rPr>
      </w:pPr>
    </w:p>
    <w:sectPr w:rsidR="004254AD" w:rsidRPr="000B2C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5A37"/>
    <w:multiLevelType w:val="hybridMultilevel"/>
    <w:tmpl w:val="9132AF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C845914"/>
    <w:multiLevelType w:val="hybridMultilevel"/>
    <w:tmpl w:val="38044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0D506E"/>
    <w:multiLevelType w:val="hybridMultilevel"/>
    <w:tmpl w:val="989E78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4F8F7987"/>
    <w:multiLevelType w:val="hybridMultilevel"/>
    <w:tmpl w:val="1CB6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060BD"/>
    <w:multiLevelType w:val="multilevel"/>
    <w:tmpl w:val="FE2A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AF"/>
    <w:rsid w:val="00013DBF"/>
    <w:rsid w:val="00015B92"/>
    <w:rsid w:val="0003516B"/>
    <w:rsid w:val="00064121"/>
    <w:rsid w:val="00097903"/>
    <w:rsid w:val="000B2CB1"/>
    <w:rsid w:val="000C47EE"/>
    <w:rsid w:val="000D23E1"/>
    <w:rsid w:val="000F528C"/>
    <w:rsid w:val="00107CA8"/>
    <w:rsid w:val="001367D1"/>
    <w:rsid w:val="001405FF"/>
    <w:rsid w:val="0015473E"/>
    <w:rsid w:val="001D63E4"/>
    <w:rsid w:val="001E601A"/>
    <w:rsid w:val="001F0D19"/>
    <w:rsid w:val="0023463A"/>
    <w:rsid w:val="0028768C"/>
    <w:rsid w:val="002D4B87"/>
    <w:rsid w:val="002E7660"/>
    <w:rsid w:val="002F36F6"/>
    <w:rsid w:val="00315989"/>
    <w:rsid w:val="0034727B"/>
    <w:rsid w:val="00375702"/>
    <w:rsid w:val="0038286E"/>
    <w:rsid w:val="003852D0"/>
    <w:rsid w:val="00391138"/>
    <w:rsid w:val="003E6326"/>
    <w:rsid w:val="003F1E08"/>
    <w:rsid w:val="004148C3"/>
    <w:rsid w:val="00415047"/>
    <w:rsid w:val="004254AD"/>
    <w:rsid w:val="00435640"/>
    <w:rsid w:val="0044182E"/>
    <w:rsid w:val="00463370"/>
    <w:rsid w:val="0046468D"/>
    <w:rsid w:val="00471234"/>
    <w:rsid w:val="00484C51"/>
    <w:rsid w:val="00492315"/>
    <w:rsid w:val="00494D49"/>
    <w:rsid w:val="004B066E"/>
    <w:rsid w:val="004D3197"/>
    <w:rsid w:val="004E2703"/>
    <w:rsid w:val="00557711"/>
    <w:rsid w:val="005F3DA0"/>
    <w:rsid w:val="00675E2D"/>
    <w:rsid w:val="00692F50"/>
    <w:rsid w:val="006A6235"/>
    <w:rsid w:val="00700A1C"/>
    <w:rsid w:val="007052E9"/>
    <w:rsid w:val="00736C1D"/>
    <w:rsid w:val="00742FE5"/>
    <w:rsid w:val="007511C9"/>
    <w:rsid w:val="007512B2"/>
    <w:rsid w:val="007808C5"/>
    <w:rsid w:val="00795D0B"/>
    <w:rsid w:val="007E005E"/>
    <w:rsid w:val="007E4ED7"/>
    <w:rsid w:val="007F146A"/>
    <w:rsid w:val="0080346C"/>
    <w:rsid w:val="00823C9B"/>
    <w:rsid w:val="0085281F"/>
    <w:rsid w:val="00866D59"/>
    <w:rsid w:val="008B136F"/>
    <w:rsid w:val="008C3D5A"/>
    <w:rsid w:val="00916047"/>
    <w:rsid w:val="0092525C"/>
    <w:rsid w:val="00930509"/>
    <w:rsid w:val="00935AEC"/>
    <w:rsid w:val="00951077"/>
    <w:rsid w:val="00954731"/>
    <w:rsid w:val="009A3C7C"/>
    <w:rsid w:val="009C3FB6"/>
    <w:rsid w:val="00A002BC"/>
    <w:rsid w:val="00A25EC4"/>
    <w:rsid w:val="00A27D4B"/>
    <w:rsid w:val="00A3654D"/>
    <w:rsid w:val="00A43CED"/>
    <w:rsid w:val="00A67038"/>
    <w:rsid w:val="00A6776B"/>
    <w:rsid w:val="00A76235"/>
    <w:rsid w:val="00AB1D72"/>
    <w:rsid w:val="00AB3250"/>
    <w:rsid w:val="00AD2653"/>
    <w:rsid w:val="00AD453E"/>
    <w:rsid w:val="00B059E0"/>
    <w:rsid w:val="00B24DF8"/>
    <w:rsid w:val="00B56E89"/>
    <w:rsid w:val="00B93994"/>
    <w:rsid w:val="00BF191E"/>
    <w:rsid w:val="00C27F34"/>
    <w:rsid w:val="00C314BE"/>
    <w:rsid w:val="00C801B0"/>
    <w:rsid w:val="00C91BD1"/>
    <w:rsid w:val="00CF6354"/>
    <w:rsid w:val="00D42022"/>
    <w:rsid w:val="00DA3D62"/>
    <w:rsid w:val="00DC4F46"/>
    <w:rsid w:val="00DD4EDB"/>
    <w:rsid w:val="00DE116A"/>
    <w:rsid w:val="00E428DA"/>
    <w:rsid w:val="00E51A72"/>
    <w:rsid w:val="00E53B59"/>
    <w:rsid w:val="00E56863"/>
    <w:rsid w:val="00E631AF"/>
    <w:rsid w:val="00EB28B8"/>
    <w:rsid w:val="00EC270F"/>
    <w:rsid w:val="00EC7CDA"/>
    <w:rsid w:val="00ED2535"/>
    <w:rsid w:val="00EF6EEE"/>
    <w:rsid w:val="00F22846"/>
    <w:rsid w:val="00FC2EA0"/>
    <w:rsid w:val="00FC4B83"/>
    <w:rsid w:val="00FC753E"/>
    <w:rsid w:val="00FF708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660"/>
    <w:pPr>
      <w:ind w:left="720"/>
      <w:contextualSpacing/>
    </w:pPr>
  </w:style>
  <w:style w:type="character" w:styleId="Hyperlink">
    <w:name w:val="Hyperlink"/>
    <w:basedOn w:val="DefaultParagraphFont"/>
    <w:uiPriority w:val="99"/>
    <w:unhideWhenUsed/>
    <w:rsid w:val="00930509"/>
    <w:rPr>
      <w:color w:val="0563C1" w:themeColor="hyperlink"/>
      <w:u w:val="single"/>
    </w:rPr>
  </w:style>
  <w:style w:type="character" w:customStyle="1" w:styleId="UnresolvedMention1">
    <w:name w:val="Unresolved Mention1"/>
    <w:basedOn w:val="DefaultParagraphFont"/>
    <w:uiPriority w:val="99"/>
    <w:semiHidden/>
    <w:unhideWhenUsed/>
    <w:rsid w:val="00930509"/>
    <w:rPr>
      <w:color w:val="808080"/>
      <w:shd w:val="clear" w:color="auto" w:fill="E6E6E6"/>
    </w:rPr>
  </w:style>
  <w:style w:type="character" w:styleId="CommentReference">
    <w:name w:val="annotation reference"/>
    <w:basedOn w:val="DefaultParagraphFont"/>
    <w:uiPriority w:val="99"/>
    <w:semiHidden/>
    <w:unhideWhenUsed/>
    <w:rsid w:val="009C3FB6"/>
    <w:rPr>
      <w:sz w:val="16"/>
      <w:szCs w:val="16"/>
    </w:rPr>
  </w:style>
  <w:style w:type="paragraph" w:styleId="CommentText">
    <w:name w:val="annotation text"/>
    <w:basedOn w:val="Normal"/>
    <w:link w:val="CommentTextChar"/>
    <w:uiPriority w:val="99"/>
    <w:semiHidden/>
    <w:unhideWhenUsed/>
    <w:rsid w:val="009C3FB6"/>
    <w:pPr>
      <w:spacing w:line="240" w:lineRule="auto"/>
    </w:pPr>
    <w:rPr>
      <w:sz w:val="20"/>
      <w:szCs w:val="20"/>
    </w:rPr>
  </w:style>
  <w:style w:type="character" w:customStyle="1" w:styleId="CommentTextChar">
    <w:name w:val="Comment Text Char"/>
    <w:basedOn w:val="DefaultParagraphFont"/>
    <w:link w:val="CommentText"/>
    <w:uiPriority w:val="99"/>
    <w:semiHidden/>
    <w:rsid w:val="009C3FB6"/>
    <w:rPr>
      <w:sz w:val="20"/>
      <w:szCs w:val="20"/>
    </w:rPr>
  </w:style>
  <w:style w:type="paragraph" w:styleId="CommentSubject">
    <w:name w:val="annotation subject"/>
    <w:basedOn w:val="CommentText"/>
    <w:next w:val="CommentText"/>
    <w:link w:val="CommentSubjectChar"/>
    <w:uiPriority w:val="99"/>
    <w:semiHidden/>
    <w:unhideWhenUsed/>
    <w:rsid w:val="009C3FB6"/>
    <w:rPr>
      <w:b/>
      <w:bCs/>
    </w:rPr>
  </w:style>
  <w:style w:type="character" w:customStyle="1" w:styleId="CommentSubjectChar">
    <w:name w:val="Comment Subject Char"/>
    <w:basedOn w:val="CommentTextChar"/>
    <w:link w:val="CommentSubject"/>
    <w:uiPriority w:val="99"/>
    <w:semiHidden/>
    <w:rsid w:val="009C3FB6"/>
    <w:rPr>
      <w:b/>
      <w:bCs/>
      <w:sz w:val="20"/>
      <w:szCs w:val="20"/>
    </w:rPr>
  </w:style>
  <w:style w:type="paragraph" w:styleId="BalloonText">
    <w:name w:val="Balloon Text"/>
    <w:basedOn w:val="Normal"/>
    <w:link w:val="BalloonTextChar"/>
    <w:uiPriority w:val="99"/>
    <w:semiHidden/>
    <w:unhideWhenUsed/>
    <w:rsid w:val="009C3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B6"/>
    <w:rPr>
      <w:rFonts w:ascii="Segoe UI" w:hAnsi="Segoe UI" w:cs="Segoe UI"/>
      <w:sz w:val="18"/>
      <w:szCs w:val="18"/>
    </w:rPr>
  </w:style>
  <w:style w:type="character" w:customStyle="1" w:styleId="UnresolvedMention">
    <w:name w:val="Unresolved Mention"/>
    <w:basedOn w:val="DefaultParagraphFont"/>
    <w:uiPriority w:val="99"/>
    <w:semiHidden/>
    <w:unhideWhenUsed/>
    <w:rsid w:val="0006412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660"/>
    <w:pPr>
      <w:ind w:left="720"/>
      <w:contextualSpacing/>
    </w:pPr>
  </w:style>
  <w:style w:type="character" w:styleId="Hyperlink">
    <w:name w:val="Hyperlink"/>
    <w:basedOn w:val="DefaultParagraphFont"/>
    <w:uiPriority w:val="99"/>
    <w:unhideWhenUsed/>
    <w:rsid w:val="00930509"/>
    <w:rPr>
      <w:color w:val="0563C1" w:themeColor="hyperlink"/>
      <w:u w:val="single"/>
    </w:rPr>
  </w:style>
  <w:style w:type="character" w:customStyle="1" w:styleId="UnresolvedMention1">
    <w:name w:val="Unresolved Mention1"/>
    <w:basedOn w:val="DefaultParagraphFont"/>
    <w:uiPriority w:val="99"/>
    <w:semiHidden/>
    <w:unhideWhenUsed/>
    <w:rsid w:val="00930509"/>
    <w:rPr>
      <w:color w:val="808080"/>
      <w:shd w:val="clear" w:color="auto" w:fill="E6E6E6"/>
    </w:rPr>
  </w:style>
  <w:style w:type="character" w:styleId="CommentReference">
    <w:name w:val="annotation reference"/>
    <w:basedOn w:val="DefaultParagraphFont"/>
    <w:uiPriority w:val="99"/>
    <w:semiHidden/>
    <w:unhideWhenUsed/>
    <w:rsid w:val="009C3FB6"/>
    <w:rPr>
      <w:sz w:val="16"/>
      <w:szCs w:val="16"/>
    </w:rPr>
  </w:style>
  <w:style w:type="paragraph" w:styleId="CommentText">
    <w:name w:val="annotation text"/>
    <w:basedOn w:val="Normal"/>
    <w:link w:val="CommentTextChar"/>
    <w:uiPriority w:val="99"/>
    <w:semiHidden/>
    <w:unhideWhenUsed/>
    <w:rsid w:val="009C3FB6"/>
    <w:pPr>
      <w:spacing w:line="240" w:lineRule="auto"/>
    </w:pPr>
    <w:rPr>
      <w:sz w:val="20"/>
      <w:szCs w:val="20"/>
    </w:rPr>
  </w:style>
  <w:style w:type="character" w:customStyle="1" w:styleId="CommentTextChar">
    <w:name w:val="Comment Text Char"/>
    <w:basedOn w:val="DefaultParagraphFont"/>
    <w:link w:val="CommentText"/>
    <w:uiPriority w:val="99"/>
    <w:semiHidden/>
    <w:rsid w:val="009C3FB6"/>
    <w:rPr>
      <w:sz w:val="20"/>
      <w:szCs w:val="20"/>
    </w:rPr>
  </w:style>
  <w:style w:type="paragraph" w:styleId="CommentSubject">
    <w:name w:val="annotation subject"/>
    <w:basedOn w:val="CommentText"/>
    <w:next w:val="CommentText"/>
    <w:link w:val="CommentSubjectChar"/>
    <w:uiPriority w:val="99"/>
    <w:semiHidden/>
    <w:unhideWhenUsed/>
    <w:rsid w:val="009C3FB6"/>
    <w:rPr>
      <w:b/>
      <w:bCs/>
    </w:rPr>
  </w:style>
  <w:style w:type="character" w:customStyle="1" w:styleId="CommentSubjectChar">
    <w:name w:val="Comment Subject Char"/>
    <w:basedOn w:val="CommentTextChar"/>
    <w:link w:val="CommentSubject"/>
    <w:uiPriority w:val="99"/>
    <w:semiHidden/>
    <w:rsid w:val="009C3FB6"/>
    <w:rPr>
      <w:b/>
      <w:bCs/>
      <w:sz w:val="20"/>
      <w:szCs w:val="20"/>
    </w:rPr>
  </w:style>
  <w:style w:type="paragraph" w:styleId="BalloonText">
    <w:name w:val="Balloon Text"/>
    <w:basedOn w:val="Normal"/>
    <w:link w:val="BalloonTextChar"/>
    <w:uiPriority w:val="99"/>
    <w:semiHidden/>
    <w:unhideWhenUsed/>
    <w:rsid w:val="009C3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B6"/>
    <w:rPr>
      <w:rFonts w:ascii="Segoe UI" w:hAnsi="Segoe UI" w:cs="Segoe UI"/>
      <w:sz w:val="18"/>
      <w:szCs w:val="18"/>
    </w:rPr>
  </w:style>
  <w:style w:type="character" w:customStyle="1" w:styleId="UnresolvedMention">
    <w:name w:val="Unresolved Mention"/>
    <w:basedOn w:val="DefaultParagraphFont"/>
    <w:uiPriority w:val="99"/>
    <w:semiHidden/>
    <w:unhideWhenUsed/>
    <w:rsid w:val="000641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80573">
      <w:bodyDiv w:val="1"/>
      <w:marLeft w:val="0"/>
      <w:marRight w:val="0"/>
      <w:marTop w:val="0"/>
      <w:marBottom w:val="0"/>
      <w:divBdr>
        <w:top w:val="none" w:sz="0" w:space="0" w:color="auto"/>
        <w:left w:val="none" w:sz="0" w:space="0" w:color="auto"/>
        <w:bottom w:val="none" w:sz="0" w:space="0" w:color="auto"/>
        <w:right w:val="none" w:sz="0" w:space="0" w:color="auto"/>
      </w:divBdr>
    </w:div>
    <w:div w:id="16362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rigaray06@gmail.com" TargetMode="External"/><Relationship Id="rId8" Type="http://schemas.openxmlformats.org/officeDocument/2006/relationships/hyperlink" Target="mailto:irigaray06@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FD3E-3F25-E342-BD0D-DBEB0B66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Colman</dc:creator>
  <cp:keywords/>
  <dc:description/>
  <cp:lastModifiedBy>Wesley Barker</cp:lastModifiedBy>
  <cp:revision>3</cp:revision>
  <dcterms:created xsi:type="dcterms:W3CDTF">2017-11-29T17:13:00Z</dcterms:created>
  <dcterms:modified xsi:type="dcterms:W3CDTF">2018-02-27T19:08:00Z</dcterms:modified>
</cp:coreProperties>
</file>